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297C0A">
        <w:rPr>
          <w:b/>
          <w:sz w:val="24"/>
          <w:szCs w:val="24"/>
          <w:lang w:eastAsia="ru-RU"/>
        </w:rPr>
        <w:t>ДО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2D42A0">
        <w:rPr>
          <w:sz w:val="22"/>
          <w:lang w:eastAsia="ru-RU"/>
        </w:rPr>
        <w:t>Доверенности № К-1-01-77/Д от 07.08.2024 г, с одной стороны, и</w:t>
      </w: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057085" w:rsidRPr="00057085" w:rsidRDefault="00057085" w:rsidP="00057085">
      <w:pPr>
        <w:tabs>
          <w:tab w:val="left" w:pos="-142"/>
        </w:tabs>
        <w:rPr>
          <w:b/>
          <w:sz w:val="22"/>
          <w:lang w:eastAsia="ru-RU"/>
        </w:rPr>
      </w:pPr>
    </w:p>
    <w:p w:rsidR="00057085" w:rsidRPr="00297C0A" w:rsidRDefault="00057085" w:rsidP="00057085">
      <w:pPr>
        <w:shd w:val="clear" w:color="auto" w:fill="FFFFFF"/>
        <w:rPr>
          <w:sz w:val="22"/>
        </w:rPr>
      </w:pPr>
      <w:r>
        <w:rPr>
          <w:sz w:val="22"/>
        </w:rPr>
        <w:t>1.1.</w:t>
      </w:r>
      <w:r w:rsidRPr="00057085">
        <w:rPr>
          <w:sz w:val="22"/>
        </w:rPr>
        <w:t xml:space="preserve">Исполнитель обязуется предоставить, а Заказчик обязуется оплатить занятия  Обучающегося по </w:t>
      </w:r>
      <w:r w:rsidR="00297C0A" w:rsidRPr="00297C0A">
        <w:rPr>
          <w:b/>
          <w:sz w:val="22"/>
        </w:rPr>
        <w:t>дополнительной общеразвивающей образовательной программе в области искусств «Инструментальные классы» («</w:t>
      </w:r>
      <w:r w:rsidR="00297C0A">
        <w:rPr>
          <w:b/>
          <w:sz w:val="22"/>
        </w:rPr>
        <w:t>Нулевой</w:t>
      </w:r>
      <w:r w:rsidR="00297C0A" w:rsidRPr="00297C0A">
        <w:rPr>
          <w:b/>
          <w:sz w:val="22"/>
        </w:rPr>
        <w:t xml:space="preserve"> класс</w:t>
      </w:r>
      <w:r w:rsidR="00297C0A">
        <w:rPr>
          <w:b/>
          <w:sz w:val="22"/>
        </w:rPr>
        <w:t>»</w:t>
      </w:r>
      <w:r w:rsidR="00297C0A" w:rsidRPr="00297C0A">
        <w:rPr>
          <w:b/>
          <w:sz w:val="22"/>
        </w:rPr>
        <w:t xml:space="preserve">) </w:t>
      </w:r>
      <w:r w:rsidR="00297C0A" w:rsidRPr="00297C0A">
        <w:rPr>
          <w:sz w:val="22"/>
        </w:rPr>
        <w:t>в соответствии с учебными планами</w:t>
      </w:r>
      <w:r w:rsidR="00FC166B" w:rsidRPr="00297C0A">
        <w:rPr>
          <w:sz w:val="22"/>
        </w:rPr>
        <w:t>.</w:t>
      </w:r>
    </w:p>
    <w:tbl>
      <w:tblPr>
        <w:tblpPr w:leftFromText="180" w:rightFromText="180" w:vertAnchor="text" w:horzAnchor="margin" w:tblpXSpec="center" w:tblpY="73"/>
        <w:tblW w:w="104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453"/>
        <w:gridCol w:w="3691"/>
        <w:gridCol w:w="1540"/>
        <w:gridCol w:w="1728"/>
      </w:tblGrid>
      <w:tr w:rsidR="00297C0A" w:rsidRPr="00FA71ED" w:rsidTr="00297C0A">
        <w:trPr>
          <w:trHeight w:val="324"/>
        </w:trPr>
        <w:tc>
          <w:tcPr>
            <w:tcW w:w="3429" w:type="dxa"/>
            <w:vMerge w:val="restart"/>
            <w:vAlign w:val="center"/>
          </w:tcPr>
          <w:p w:rsidR="00297C0A" w:rsidRPr="00000481" w:rsidRDefault="00297C0A" w:rsidP="00297C0A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Наименование </w:t>
            </w:r>
            <w:r>
              <w:rPr>
                <w:b/>
                <w:color w:val="000000"/>
                <w:sz w:val="22"/>
                <w:lang w:eastAsia="ru-RU"/>
              </w:rPr>
              <w:t xml:space="preserve">             </w:t>
            </w:r>
          </w:p>
          <w:p w:rsidR="00297C0A" w:rsidRPr="00000481" w:rsidRDefault="00297C0A" w:rsidP="00297C0A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>предметов</w:t>
            </w:r>
          </w:p>
        </w:tc>
        <w:tc>
          <w:tcPr>
            <w:tcW w:w="3703" w:type="dxa"/>
            <w:vMerge w:val="restart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</w:t>
            </w:r>
            <w:r w:rsidRPr="00000481">
              <w:rPr>
                <w:b/>
                <w:color w:val="000000"/>
                <w:sz w:val="22"/>
                <w:lang w:eastAsia="ru-RU"/>
              </w:rPr>
              <w:t>Форма предоставления (оказания)</w:t>
            </w: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услуг </w:t>
            </w:r>
          </w:p>
        </w:tc>
        <w:tc>
          <w:tcPr>
            <w:tcW w:w="3280" w:type="dxa"/>
            <w:gridSpan w:val="2"/>
            <w:vAlign w:val="center"/>
          </w:tcPr>
          <w:p w:rsidR="00297C0A" w:rsidRPr="00000481" w:rsidRDefault="00297C0A" w:rsidP="00297C0A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000481">
              <w:rPr>
                <w:b/>
                <w:color w:val="000000"/>
                <w:sz w:val="22"/>
                <w:lang w:eastAsia="ru-RU"/>
              </w:rPr>
              <w:t xml:space="preserve">  Количество часов</w:t>
            </w:r>
          </w:p>
        </w:tc>
      </w:tr>
      <w:tr w:rsidR="00297C0A" w:rsidRPr="00FA71ED" w:rsidTr="00297C0A">
        <w:trPr>
          <w:trHeight w:val="324"/>
        </w:trPr>
        <w:tc>
          <w:tcPr>
            <w:tcW w:w="3429" w:type="dxa"/>
            <w:vMerge/>
            <w:vAlign w:val="center"/>
          </w:tcPr>
          <w:p w:rsidR="00297C0A" w:rsidRPr="00DF17A2" w:rsidRDefault="00297C0A" w:rsidP="00297C0A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297C0A" w:rsidRPr="00DF17A2" w:rsidRDefault="00297C0A" w:rsidP="00297C0A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DF17A2">
              <w:rPr>
                <w:color w:val="000000"/>
                <w:sz w:val="22"/>
                <w:lang w:eastAsia="ru-RU"/>
              </w:rPr>
              <w:t>в неделю</w:t>
            </w:r>
          </w:p>
        </w:tc>
        <w:tc>
          <w:tcPr>
            <w:tcW w:w="173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787AE1">
              <w:rPr>
                <w:color w:val="000000"/>
                <w:sz w:val="22"/>
                <w:lang w:eastAsia="ru-RU"/>
              </w:rPr>
              <w:t xml:space="preserve">за </w:t>
            </w:r>
            <w:r>
              <w:rPr>
                <w:color w:val="000000"/>
                <w:sz w:val="22"/>
                <w:lang w:eastAsia="ru-RU"/>
              </w:rPr>
              <w:t>1</w:t>
            </w:r>
            <w:r w:rsidRPr="00787AE1">
              <w:rPr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297C0A" w:rsidRPr="00FA71ED" w:rsidTr="00297C0A">
        <w:trPr>
          <w:trHeight w:val="511"/>
        </w:trPr>
        <w:tc>
          <w:tcPr>
            <w:tcW w:w="3429" w:type="dxa"/>
            <w:vAlign w:val="center"/>
          </w:tcPr>
          <w:p w:rsidR="00297C0A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Специальный инструмент (фортепиано, струнные инструменты, духовые, ударные инструменты)</w:t>
            </w:r>
          </w:p>
          <w:p w:rsidR="00297C0A" w:rsidRDefault="00297C0A" w:rsidP="00297C0A">
            <w:pPr>
              <w:ind w:left="-284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________________________________</w:t>
            </w:r>
          </w:p>
          <w:p w:rsidR="00297C0A" w:rsidRPr="00DF17A2" w:rsidRDefault="00297C0A" w:rsidP="00297C0A">
            <w:pPr>
              <w:ind w:left="-284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индивидуальные занятия</w:t>
            </w:r>
          </w:p>
        </w:tc>
        <w:tc>
          <w:tcPr>
            <w:tcW w:w="154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часа</w:t>
            </w:r>
          </w:p>
        </w:tc>
        <w:tc>
          <w:tcPr>
            <w:tcW w:w="173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68 часов</w:t>
            </w:r>
          </w:p>
        </w:tc>
      </w:tr>
      <w:tr w:rsidR="00297C0A" w:rsidRPr="00FA71ED" w:rsidTr="00297C0A">
        <w:trPr>
          <w:trHeight w:val="511"/>
        </w:trPr>
        <w:tc>
          <w:tcPr>
            <w:tcW w:w="3429" w:type="dxa"/>
            <w:vAlign w:val="center"/>
          </w:tcPr>
          <w:p w:rsidR="00297C0A" w:rsidRPr="002A6573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сольфеджио</w:t>
            </w:r>
          </w:p>
        </w:tc>
        <w:tc>
          <w:tcPr>
            <w:tcW w:w="3703" w:type="dxa"/>
            <w:vAlign w:val="center"/>
          </w:tcPr>
          <w:p w:rsidR="00297C0A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297C0A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часа</w:t>
            </w:r>
          </w:p>
        </w:tc>
        <w:tc>
          <w:tcPr>
            <w:tcW w:w="1735" w:type="dxa"/>
            <w:vAlign w:val="center"/>
          </w:tcPr>
          <w:p w:rsidR="00297C0A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68 часов</w:t>
            </w:r>
          </w:p>
        </w:tc>
      </w:tr>
      <w:tr w:rsidR="00297C0A" w:rsidRPr="00FA71ED" w:rsidTr="00297C0A">
        <w:trPr>
          <w:trHeight w:val="468"/>
        </w:trPr>
        <w:tc>
          <w:tcPr>
            <w:tcW w:w="3429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ритмика</w:t>
            </w:r>
          </w:p>
        </w:tc>
        <w:tc>
          <w:tcPr>
            <w:tcW w:w="3703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часов</w:t>
            </w:r>
          </w:p>
        </w:tc>
      </w:tr>
      <w:tr w:rsidR="00297C0A" w:rsidRPr="00FA71ED" w:rsidTr="00297C0A">
        <w:trPr>
          <w:trHeight w:val="519"/>
        </w:trPr>
        <w:tc>
          <w:tcPr>
            <w:tcW w:w="3429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хор</w:t>
            </w:r>
          </w:p>
        </w:tc>
        <w:tc>
          <w:tcPr>
            <w:tcW w:w="3703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297C0A" w:rsidRPr="00DF17A2" w:rsidRDefault="00297C0A" w:rsidP="00297C0A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часов</w:t>
            </w:r>
          </w:p>
        </w:tc>
      </w:tr>
    </w:tbl>
    <w:p w:rsidR="00057085" w:rsidRDefault="00057085" w:rsidP="00057085">
      <w:pPr>
        <w:shd w:val="clear" w:color="auto" w:fill="FFFFFF"/>
        <w:rPr>
          <w:sz w:val="18"/>
          <w:szCs w:val="18"/>
        </w:rPr>
      </w:pPr>
    </w:p>
    <w:p w:rsidR="00057085" w:rsidRPr="00251BA1" w:rsidRDefault="00057085" w:rsidP="00057085">
      <w:pPr>
        <w:shd w:val="clear" w:color="auto" w:fill="FFFFFF"/>
        <w:ind w:left="-142" w:firstLine="142"/>
        <w:rPr>
          <w:sz w:val="22"/>
        </w:rPr>
      </w:pPr>
      <w:r>
        <w:rPr>
          <w:b/>
          <w:sz w:val="22"/>
        </w:rPr>
        <w:t xml:space="preserve">1.2. </w:t>
      </w:r>
      <w:r w:rsidRPr="00C311C6">
        <w:rPr>
          <w:sz w:val="22"/>
        </w:rPr>
        <w:t>Вид услуги:</w:t>
      </w:r>
      <w:r>
        <w:rPr>
          <w:sz w:val="22"/>
        </w:rPr>
        <w:t xml:space="preserve"> дополнительная общеразвивающая программа.</w:t>
      </w:r>
    </w:p>
    <w:p w:rsidR="00057085" w:rsidRDefault="00057085" w:rsidP="00057085">
      <w:pPr>
        <w:ind w:hanging="284"/>
        <w:rPr>
          <w:sz w:val="22"/>
        </w:rPr>
      </w:pPr>
      <w:r>
        <w:rPr>
          <w:b/>
          <w:sz w:val="22"/>
        </w:rPr>
        <w:t xml:space="preserve">     1.3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Срок освоения образовательной программы на момент подписания Договора составляет </w:t>
      </w:r>
    </w:p>
    <w:p w:rsidR="00057085" w:rsidRPr="007C71F4" w:rsidRDefault="00FC166B" w:rsidP="00057085">
      <w:pPr>
        <w:ind w:hanging="284"/>
        <w:rPr>
          <w:sz w:val="22"/>
        </w:rPr>
      </w:pPr>
      <w:r>
        <w:rPr>
          <w:sz w:val="22"/>
        </w:rPr>
        <w:t xml:space="preserve">            1</w:t>
      </w:r>
      <w:r w:rsidR="00057085">
        <w:rPr>
          <w:sz w:val="22"/>
        </w:rPr>
        <w:t xml:space="preserve"> учебны</w:t>
      </w:r>
      <w:r>
        <w:rPr>
          <w:sz w:val="22"/>
        </w:rPr>
        <w:t>й год</w:t>
      </w:r>
      <w:r w:rsidR="00057085" w:rsidRPr="007C71F4">
        <w:rPr>
          <w:sz w:val="22"/>
        </w:rPr>
        <w:t>.</w:t>
      </w:r>
      <w:r w:rsidR="00057085" w:rsidRPr="00057085">
        <w:rPr>
          <w:sz w:val="22"/>
        </w:rPr>
        <w:t xml:space="preserve"> </w:t>
      </w:r>
      <w:r w:rsidR="00057085">
        <w:rPr>
          <w:sz w:val="22"/>
        </w:rPr>
        <w:t>Учебный год составляет 34 недели.</w:t>
      </w:r>
    </w:p>
    <w:p w:rsidR="00057085" w:rsidRPr="00DF17A2" w:rsidRDefault="00057085" w:rsidP="00057085">
      <w:pPr>
        <w:ind w:left="-284"/>
        <w:rPr>
          <w:sz w:val="22"/>
        </w:rPr>
      </w:pPr>
      <w:r>
        <w:rPr>
          <w:b/>
          <w:sz w:val="22"/>
        </w:rPr>
        <w:t xml:space="preserve">     1.4</w:t>
      </w:r>
      <w:r w:rsidRPr="00DF17A2">
        <w:rPr>
          <w:b/>
          <w:sz w:val="22"/>
        </w:rPr>
        <w:t>.</w:t>
      </w:r>
      <w:r>
        <w:rPr>
          <w:sz w:val="22"/>
        </w:rPr>
        <w:t xml:space="preserve">  Начало обучения: с </w:t>
      </w:r>
      <w:r w:rsidRPr="00973C3B">
        <w:rPr>
          <w:b/>
          <w:sz w:val="22"/>
        </w:rPr>
        <w:t>1 сентября 202</w:t>
      </w:r>
      <w:r>
        <w:rPr>
          <w:b/>
          <w:sz w:val="22"/>
        </w:rPr>
        <w:t>4</w:t>
      </w:r>
      <w:r w:rsidRPr="00973C3B">
        <w:rPr>
          <w:b/>
          <w:sz w:val="22"/>
        </w:rPr>
        <w:t xml:space="preserve"> г</w:t>
      </w:r>
      <w:r w:rsidRPr="00DF17A2">
        <w:rPr>
          <w:sz w:val="22"/>
        </w:rPr>
        <w:t>.</w:t>
      </w:r>
    </w:p>
    <w:p w:rsidR="00057085" w:rsidRPr="00DF17A2" w:rsidRDefault="00057085" w:rsidP="00057085">
      <w:pPr>
        <w:ind w:left="-567" w:firstLine="284"/>
        <w:rPr>
          <w:sz w:val="22"/>
        </w:rPr>
      </w:pPr>
      <w:r>
        <w:rPr>
          <w:b/>
          <w:sz w:val="22"/>
        </w:rPr>
        <w:t xml:space="preserve">     1.5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Форма обучения: очная</w:t>
      </w:r>
      <w:r>
        <w:rPr>
          <w:sz w:val="22"/>
        </w:rPr>
        <w:t>, 1 час составляет 3</w:t>
      </w:r>
      <w:r w:rsidRPr="00973C3B">
        <w:rPr>
          <w:sz w:val="22"/>
        </w:rPr>
        <w:t>0 минут</w:t>
      </w:r>
      <w:r>
        <w:rPr>
          <w:sz w:val="22"/>
        </w:rPr>
        <w:t>.</w:t>
      </w:r>
    </w:p>
    <w:p w:rsidR="00DE4BEA" w:rsidRDefault="00604975" w:rsidP="00057085">
      <w:pPr>
        <w:rPr>
          <w:color w:val="000000"/>
          <w:sz w:val="22"/>
        </w:rPr>
      </w:pPr>
      <w:r>
        <w:rPr>
          <w:b/>
          <w:sz w:val="22"/>
        </w:rPr>
        <w:t>1.</w:t>
      </w:r>
      <w:r w:rsidR="0078567C">
        <w:rPr>
          <w:b/>
          <w:sz w:val="22"/>
        </w:rPr>
        <w:t>6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FC166B" w:rsidRDefault="00FC166B" w:rsidP="00057085">
      <w:pPr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lastRenderedPageBreak/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57085" w:rsidRPr="00FC166B" w:rsidRDefault="00AC781A" w:rsidP="00FC166B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FC166B" w:rsidRPr="00AC781A" w:rsidRDefault="00FC166B" w:rsidP="00FC166B">
      <w:pPr>
        <w:ind w:left="-284" w:firstLine="426"/>
        <w:rPr>
          <w:sz w:val="22"/>
        </w:rPr>
      </w:pPr>
      <w:r>
        <w:rPr>
          <w:sz w:val="22"/>
        </w:rPr>
        <w:t xml:space="preserve">2.2.3. </w:t>
      </w:r>
      <w:r w:rsidRPr="00AC781A">
        <w:rPr>
          <w:sz w:val="22"/>
        </w:rPr>
        <w:t>Требовать от Исполнителя восполнить материал индивидуальных занятий в пределах объема услуг, оказываемых в соответствии с разделом 1 настоящего договора, пройденный за время отсутствия Обучающегося по уважительной причине (например: болезнь Обучающегося, его участие в конкурсах, фестивалях, концертах, подтвержденных документально) либо в случае пропуска занятий по вине преподавателя. Индивидуальные уроки отдаются полностью в более поздние сроки по согласованию с родителями (законными представителями).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057085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6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1B6C89" w:rsidRPr="00BD0B40">
        <w:rPr>
          <w:sz w:val="22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434E0" w:rsidRPr="00BD0B40">
        <w:rPr>
          <w:color w:val="000000"/>
          <w:sz w:val="22"/>
        </w:rPr>
        <w:t>«МССМШ им. Гнесиных» с/п «ДМШ при МССМШ им. Гнесиных»</w:t>
      </w:r>
      <w:r w:rsidR="001B6C89" w:rsidRPr="00BD0B40">
        <w:rPr>
          <w:sz w:val="22"/>
        </w:rPr>
        <w:t xml:space="preserve">, справку об обучении или периоде обучения по </w:t>
      </w:r>
      <w:r w:rsidRPr="00BD0B40">
        <w:rPr>
          <w:sz w:val="22"/>
        </w:rPr>
        <w:t xml:space="preserve">установленному </w:t>
      </w:r>
      <w:r w:rsidR="001B6C89" w:rsidRPr="00BD0B40">
        <w:rPr>
          <w:sz w:val="22"/>
        </w:rPr>
        <w:t>образцу</w:t>
      </w:r>
      <w:r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1B6C89" w:rsidRDefault="00FE16C0" w:rsidP="00C91618">
      <w:pPr>
        <w:ind w:left="-284" w:firstLine="426"/>
        <w:rPr>
          <w:sz w:val="22"/>
          <w:lang w:eastAsia="ru-RU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057085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297C0A" w:rsidRDefault="00297C0A" w:rsidP="00C91618">
      <w:pPr>
        <w:ind w:left="-284" w:firstLine="426"/>
        <w:rPr>
          <w:sz w:val="22"/>
        </w:rPr>
      </w:pPr>
    </w:p>
    <w:p w:rsidR="00297C0A" w:rsidRDefault="00297C0A" w:rsidP="00C91618">
      <w:pPr>
        <w:ind w:left="-284" w:firstLine="426"/>
        <w:rPr>
          <w:sz w:val="22"/>
        </w:rPr>
      </w:pPr>
    </w:p>
    <w:p w:rsidR="00297C0A" w:rsidRPr="001515D1" w:rsidRDefault="00297C0A" w:rsidP="00C91618">
      <w:pPr>
        <w:ind w:left="-284" w:firstLine="426"/>
        <w:rPr>
          <w:sz w:val="22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lastRenderedPageBreak/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057085" w:rsidRDefault="00057085" w:rsidP="00057085">
      <w:pPr>
        <w:pStyle w:val="a4"/>
        <w:tabs>
          <w:tab w:val="left" w:pos="-284"/>
          <w:tab w:val="left" w:pos="0"/>
        </w:tabs>
        <w:rPr>
          <w:b/>
          <w:sz w:val="22"/>
          <w:lang w:eastAsia="ru-RU"/>
        </w:rPr>
      </w:pP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C91618" w:rsidRDefault="00C91618" w:rsidP="00C91618">
      <w:pPr>
        <w:pStyle w:val="a4"/>
        <w:tabs>
          <w:tab w:val="left" w:pos="426"/>
        </w:tabs>
        <w:rPr>
          <w:b/>
          <w:sz w:val="22"/>
          <w:lang w:eastAsia="ru-RU"/>
        </w:rPr>
      </w:pPr>
    </w:p>
    <w:p w:rsid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607796" w:rsidRP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 xml:space="preserve">5.2. </w:t>
      </w:r>
      <w:r w:rsidR="00607796" w:rsidRPr="00607796">
        <w:rPr>
          <w:sz w:val="22"/>
          <w:lang w:eastAsia="ru-RU"/>
        </w:rPr>
        <w:t xml:space="preserve">Стоимость образовательных услуг </w:t>
      </w:r>
      <w:r w:rsidR="00297C0A">
        <w:rPr>
          <w:b/>
          <w:sz w:val="22"/>
          <w:lang w:eastAsia="ru-RU"/>
        </w:rPr>
        <w:t xml:space="preserve">для детей </w:t>
      </w:r>
      <w:r w:rsidR="00FC166B">
        <w:rPr>
          <w:b/>
          <w:sz w:val="22"/>
          <w:lang w:eastAsia="ru-RU"/>
        </w:rPr>
        <w:t xml:space="preserve">6 </w:t>
      </w:r>
      <w:r w:rsidR="00607796" w:rsidRPr="00607796">
        <w:rPr>
          <w:b/>
          <w:sz w:val="22"/>
          <w:lang w:eastAsia="ru-RU"/>
        </w:rPr>
        <w:t xml:space="preserve">лет </w:t>
      </w:r>
      <w:r w:rsidR="00607796" w:rsidRPr="00607796">
        <w:rPr>
          <w:sz w:val="22"/>
          <w:lang w:eastAsia="ru-RU"/>
        </w:rPr>
        <w:t>составляет: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>- 1</w:t>
      </w:r>
      <w:r w:rsidR="00FC166B">
        <w:rPr>
          <w:b/>
          <w:sz w:val="22"/>
          <w:lang w:eastAsia="ru-RU"/>
        </w:rPr>
        <w:t>3</w:t>
      </w:r>
      <w:r w:rsidR="00297C0A">
        <w:rPr>
          <w:b/>
          <w:sz w:val="22"/>
          <w:lang w:eastAsia="ru-RU"/>
        </w:rPr>
        <w:t>9</w:t>
      </w:r>
      <w:r w:rsidR="00C91618">
        <w:rPr>
          <w:b/>
          <w:sz w:val="22"/>
          <w:lang w:eastAsia="ru-RU"/>
        </w:rPr>
        <w:t> </w:t>
      </w:r>
      <w:r w:rsidR="00297C0A">
        <w:rPr>
          <w:b/>
          <w:sz w:val="22"/>
          <w:lang w:eastAsia="ru-RU"/>
        </w:rPr>
        <w:t>5</w:t>
      </w:r>
      <w:r w:rsidRPr="00607796">
        <w:rPr>
          <w:b/>
          <w:sz w:val="22"/>
          <w:lang w:eastAsia="ru-RU"/>
        </w:rPr>
        <w:t>00</w:t>
      </w:r>
      <w:r w:rsidR="00C91618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>руб. за год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>- 1</w:t>
      </w:r>
      <w:r w:rsidR="00FC166B">
        <w:rPr>
          <w:b/>
          <w:sz w:val="22"/>
          <w:lang w:eastAsia="ru-RU"/>
        </w:rPr>
        <w:t>5</w:t>
      </w:r>
      <w:r w:rsidRPr="00607796">
        <w:rPr>
          <w:b/>
          <w:sz w:val="22"/>
          <w:lang w:eastAsia="ru-RU"/>
        </w:rPr>
        <w:t> </w:t>
      </w:r>
      <w:r w:rsidR="00FC166B">
        <w:rPr>
          <w:b/>
          <w:sz w:val="22"/>
          <w:lang w:eastAsia="ru-RU"/>
        </w:rPr>
        <w:t xml:space="preserve"> </w:t>
      </w:r>
      <w:r w:rsidR="00297C0A">
        <w:rPr>
          <w:b/>
          <w:sz w:val="22"/>
          <w:lang w:eastAsia="ru-RU"/>
        </w:rPr>
        <w:t>5</w:t>
      </w:r>
      <w:r w:rsidRPr="00607796">
        <w:rPr>
          <w:b/>
          <w:sz w:val="22"/>
          <w:lang w:eastAsia="ru-RU"/>
        </w:rPr>
        <w:t>00 руб.</w:t>
      </w:r>
      <w:r w:rsidR="00C91618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 xml:space="preserve">за месяц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607796" w:rsidRDefault="00C61E5B" w:rsidP="00607796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6859E0" w:rsidRDefault="006859E0" w:rsidP="00607796">
      <w:pPr>
        <w:tabs>
          <w:tab w:val="left" w:pos="993"/>
        </w:tabs>
        <w:rPr>
          <w:sz w:val="22"/>
        </w:rPr>
      </w:pPr>
    </w:p>
    <w:p w:rsidR="00C91618" w:rsidRPr="00C9737E" w:rsidRDefault="00C91618" w:rsidP="00607796">
      <w:pPr>
        <w:tabs>
          <w:tab w:val="left" w:pos="993"/>
        </w:tabs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lastRenderedPageBreak/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4</w:t>
      </w:r>
      <w:r>
        <w:rPr>
          <w:sz w:val="22"/>
        </w:rPr>
        <w:t>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5</w:t>
      </w:r>
      <w:r>
        <w:rPr>
          <w:sz w:val="22"/>
        </w:rPr>
        <w:t>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lastRenderedPageBreak/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5A673B" w:rsidRPr="00030E07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0B" w:rsidRDefault="00515F0B" w:rsidP="00614BD2">
      <w:r>
        <w:separator/>
      </w:r>
    </w:p>
  </w:endnote>
  <w:endnote w:type="continuationSeparator" w:id="0">
    <w:p w:rsidR="00515F0B" w:rsidRDefault="00515F0B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D42A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0B" w:rsidRDefault="00515F0B" w:rsidP="00614BD2">
      <w:r>
        <w:separator/>
      </w:r>
    </w:p>
  </w:footnote>
  <w:footnote w:type="continuationSeparator" w:id="0">
    <w:p w:rsidR="00515F0B" w:rsidRDefault="00515F0B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085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97C0A"/>
    <w:rsid w:val="002B4DC5"/>
    <w:rsid w:val="002B50ED"/>
    <w:rsid w:val="002C0E06"/>
    <w:rsid w:val="002D32CA"/>
    <w:rsid w:val="002D42A0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724EA"/>
    <w:rsid w:val="00475B5C"/>
    <w:rsid w:val="00477A9A"/>
    <w:rsid w:val="00484EC0"/>
    <w:rsid w:val="00485096"/>
    <w:rsid w:val="004869FC"/>
    <w:rsid w:val="00491A08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15F0B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07796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E66A9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1618"/>
    <w:rsid w:val="00C9737E"/>
    <w:rsid w:val="00CA0FD1"/>
    <w:rsid w:val="00CA16A6"/>
    <w:rsid w:val="00CB66A2"/>
    <w:rsid w:val="00CD20EA"/>
    <w:rsid w:val="00CD73FF"/>
    <w:rsid w:val="00CE190E"/>
    <w:rsid w:val="00CF410F"/>
    <w:rsid w:val="00D1382E"/>
    <w:rsid w:val="00D13873"/>
    <w:rsid w:val="00D434E0"/>
    <w:rsid w:val="00D444E0"/>
    <w:rsid w:val="00D461C0"/>
    <w:rsid w:val="00D51333"/>
    <w:rsid w:val="00D528CE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10847"/>
    <w:rsid w:val="00E14592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166B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AC6E-0A3D-4727-B6BF-868C41DE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18100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42</cp:revision>
  <cp:lastPrinted>2023-08-22T11:59:00Z</cp:lastPrinted>
  <dcterms:created xsi:type="dcterms:W3CDTF">2024-08-12T11:11:00Z</dcterms:created>
  <dcterms:modified xsi:type="dcterms:W3CDTF">2024-08-20T19:35:00Z</dcterms:modified>
</cp:coreProperties>
</file>